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4B70B" w14:textId="77777777" w:rsidR="00463082" w:rsidRPr="00463082" w:rsidRDefault="00463082" w:rsidP="00463082">
      <w:pPr>
        <w:spacing w:after="0" w:line="240" w:lineRule="auto"/>
        <w:jc w:val="center"/>
        <w:rPr>
          <w:rFonts w:ascii="Calibri" w:eastAsia="Calibri" w:hAnsi="Calibri" w:cs="Times New Roman"/>
          <w:b/>
          <w:sz w:val="24"/>
          <w:szCs w:val="24"/>
        </w:rPr>
      </w:pPr>
      <w:bookmarkStart w:id="0" w:name="_GoBack"/>
      <w:bookmarkEnd w:id="0"/>
      <w:r w:rsidRPr="00463082">
        <w:rPr>
          <w:rFonts w:ascii="Calibri" w:eastAsia="Calibri" w:hAnsi="Calibri" w:cs="Times New Roman"/>
          <w:b/>
          <w:sz w:val="24"/>
          <w:szCs w:val="24"/>
        </w:rPr>
        <w:t>QUESTIONS &amp; ANSWERS</w:t>
      </w:r>
    </w:p>
    <w:p w14:paraId="029F16B6" w14:textId="2DCA5303" w:rsidR="00463082" w:rsidRPr="00463082" w:rsidRDefault="00463082" w:rsidP="00463082">
      <w:pPr>
        <w:spacing w:after="0" w:line="240" w:lineRule="auto"/>
        <w:jc w:val="center"/>
        <w:rPr>
          <w:rFonts w:ascii="Calibri" w:eastAsia="Calibri" w:hAnsi="Calibri" w:cs="Times New Roman"/>
          <w:b/>
          <w:sz w:val="24"/>
          <w:szCs w:val="24"/>
        </w:rPr>
      </w:pPr>
      <w:r w:rsidRPr="00463082">
        <w:rPr>
          <w:rFonts w:ascii="Calibri" w:eastAsia="Calibri" w:hAnsi="Calibri" w:cs="Times New Roman"/>
          <w:b/>
          <w:sz w:val="24"/>
          <w:szCs w:val="24"/>
        </w:rPr>
        <w:t xml:space="preserve">IBEW TENTH DISTRICT </w:t>
      </w:r>
      <w:r>
        <w:rPr>
          <w:rFonts w:ascii="Calibri" w:eastAsia="Calibri" w:hAnsi="Calibri" w:cs="Times New Roman"/>
          <w:b/>
          <w:sz w:val="24"/>
          <w:szCs w:val="24"/>
        </w:rPr>
        <w:t xml:space="preserve">PREFAB </w:t>
      </w:r>
      <w:r w:rsidRPr="00463082">
        <w:rPr>
          <w:rFonts w:ascii="Calibri" w:eastAsia="Calibri" w:hAnsi="Calibri" w:cs="Times New Roman"/>
          <w:b/>
          <w:sz w:val="24"/>
          <w:szCs w:val="24"/>
        </w:rPr>
        <w:t>AGREEMENT</w:t>
      </w:r>
    </w:p>
    <w:p w14:paraId="2C370562" w14:textId="77777777" w:rsidR="00463082" w:rsidRPr="00463082" w:rsidRDefault="00463082" w:rsidP="00463082">
      <w:pPr>
        <w:spacing w:after="0" w:line="240" w:lineRule="auto"/>
        <w:jc w:val="center"/>
        <w:rPr>
          <w:rFonts w:ascii="Calibri" w:eastAsia="Calibri" w:hAnsi="Calibri" w:cs="Times New Roman"/>
          <w:b/>
          <w:sz w:val="24"/>
          <w:szCs w:val="24"/>
        </w:rPr>
      </w:pPr>
    </w:p>
    <w:p w14:paraId="55D63C19" w14:textId="78CDA559" w:rsidR="00463082" w:rsidRPr="00463082" w:rsidRDefault="002032C2" w:rsidP="002032C2">
      <w:pPr>
        <w:spacing w:after="0" w:line="240" w:lineRule="auto"/>
        <w:ind w:left="360"/>
        <w:contextualSpacing/>
        <w:rPr>
          <w:rFonts w:ascii="Calibri" w:eastAsia="Calibri" w:hAnsi="Calibri" w:cs="Times New Roman"/>
          <w:b/>
          <w:i/>
          <w:sz w:val="24"/>
          <w:szCs w:val="24"/>
        </w:rPr>
      </w:pPr>
      <w:r>
        <w:rPr>
          <w:rFonts w:ascii="Calibri" w:eastAsia="Calibri" w:hAnsi="Calibri" w:cs="Times New Roman"/>
          <w:b/>
          <w:i/>
          <w:sz w:val="24"/>
          <w:szCs w:val="24"/>
        </w:rPr>
        <w:t>1</w:t>
      </w:r>
      <w:r>
        <w:rPr>
          <w:rFonts w:ascii="Calibri" w:eastAsia="Calibri" w:hAnsi="Calibri" w:cs="Times New Roman"/>
          <w:b/>
          <w:i/>
          <w:sz w:val="24"/>
          <w:szCs w:val="24"/>
        </w:rPr>
        <w:tab/>
      </w:r>
      <w:r w:rsidR="00463082" w:rsidRPr="00463082">
        <w:rPr>
          <w:rFonts w:ascii="Calibri" w:eastAsia="Calibri" w:hAnsi="Calibri" w:cs="Times New Roman"/>
          <w:b/>
          <w:i/>
          <w:sz w:val="24"/>
          <w:szCs w:val="24"/>
        </w:rPr>
        <w:t>Wh</w:t>
      </w:r>
      <w:r>
        <w:rPr>
          <w:rFonts w:ascii="Calibri" w:eastAsia="Calibri" w:hAnsi="Calibri" w:cs="Times New Roman"/>
          <w:b/>
          <w:i/>
          <w:sz w:val="24"/>
          <w:szCs w:val="24"/>
        </w:rPr>
        <w:t>y</w:t>
      </w:r>
      <w:r w:rsidR="00463082" w:rsidRPr="00463082">
        <w:rPr>
          <w:rFonts w:ascii="Calibri" w:eastAsia="Calibri" w:hAnsi="Calibri" w:cs="Times New Roman"/>
          <w:b/>
          <w:i/>
          <w:sz w:val="24"/>
          <w:szCs w:val="24"/>
        </w:rPr>
        <w:t xml:space="preserve"> </w:t>
      </w:r>
      <w:r>
        <w:rPr>
          <w:rFonts w:ascii="Calibri" w:eastAsia="Calibri" w:hAnsi="Calibri" w:cs="Times New Roman"/>
          <w:b/>
          <w:i/>
          <w:sz w:val="24"/>
          <w:szCs w:val="24"/>
        </w:rPr>
        <w:t xml:space="preserve">draft a </w:t>
      </w:r>
      <w:r w:rsidR="00463082" w:rsidRPr="00463082">
        <w:rPr>
          <w:rFonts w:ascii="Calibri" w:eastAsia="Calibri" w:hAnsi="Calibri" w:cs="Times New Roman"/>
          <w:b/>
          <w:i/>
          <w:sz w:val="24"/>
          <w:szCs w:val="24"/>
        </w:rPr>
        <w:t xml:space="preserve">district </w:t>
      </w:r>
      <w:r w:rsidR="00463082">
        <w:rPr>
          <w:rFonts w:ascii="Calibri" w:eastAsia="Calibri" w:hAnsi="Calibri" w:cs="Times New Roman"/>
          <w:b/>
          <w:i/>
          <w:sz w:val="24"/>
          <w:szCs w:val="24"/>
        </w:rPr>
        <w:t xml:space="preserve">prefab </w:t>
      </w:r>
      <w:r w:rsidR="00463082" w:rsidRPr="00463082">
        <w:rPr>
          <w:rFonts w:ascii="Calibri" w:eastAsia="Calibri" w:hAnsi="Calibri" w:cs="Times New Roman"/>
          <w:b/>
          <w:i/>
          <w:sz w:val="24"/>
          <w:szCs w:val="24"/>
        </w:rPr>
        <w:t>agreement?</w:t>
      </w:r>
    </w:p>
    <w:p w14:paraId="16CC5E1B" w14:textId="77777777" w:rsidR="00463082" w:rsidRPr="00463082" w:rsidRDefault="00463082" w:rsidP="00463082">
      <w:pPr>
        <w:spacing w:after="0" w:line="240" w:lineRule="auto"/>
        <w:rPr>
          <w:rFonts w:ascii="Calibri" w:eastAsia="Calibri" w:hAnsi="Calibri" w:cs="Times New Roman"/>
          <w:b/>
          <w:i/>
          <w:sz w:val="24"/>
          <w:szCs w:val="24"/>
        </w:rPr>
      </w:pPr>
    </w:p>
    <w:p w14:paraId="3942EF2D" w14:textId="70FEC6A7" w:rsidR="00463082" w:rsidRPr="00463082" w:rsidRDefault="00463082" w:rsidP="00463082">
      <w:pPr>
        <w:spacing w:after="0" w:line="240" w:lineRule="auto"/>
        <w:ind w:left="720"/>
        <w:jc w:val="both"/>
        <w:rPr>
          <w:rFonts w:ascii="Calibri" w:eastAsia="Calibri" w:hAnsi="Calibri" w:cs="Times New Roman"/>
          <w:bCs/>
          <w:iCs/>
          <w:sz w:val="24"/>
          <w:szCs w:val="24"/>
        </w:rPr>
      </w:pPr>
      <w:r w:rsidRPr="00463082">
        <w:rPr>
          <w:rFonts w:ascii="Calibri" w:eastAsia="Calibri" w:hAnsi="Calibri" w:cs="Times New Roman"/>
          <w:b/>
          <w:iCs/>
          <w:sz w:val="24"/>
          <w:szCs w:val="24"/>
          <w:u w:val="single"/>
        </w:rPr>
        <w:t>Answer:</w:t>
      </w:r>
      <w:r w:rsidRPr="00463082">
        <w:rPr>
          <w:rFonts w:ascii="Calibri" w:eastAsia="Calibri" w:hAnsi="Calibri" w:cs="Times New Roman"/>
          <w:bCs/>
          <w:iCs/>
          <w:sz w:val="24"/>
          <w:szCs w:val="24"/>
        </w:rPr>
        <w:t xml:space="preserve">  The </w:t>
      </w:r>
      <w:r w:rsidR="002032C2">
        <w:rPr>
          <w:rFonts w:ascii="Calibri" w:eastAsia="Calibri" w:hAnsi="Calibri" w:cs="Times New Roman"/>
          <w:bCs/>
          <w:iCs/>
          <w:sz w:val="24"/>
          <w:szCs w:val="24"/>
        </w:rPr>
        <w:t xml:space="preserve">IBEW Tenth District, and its local unions, created the IBEW Tenth District Prefab Agreement to encourage contractors to participate in the prefab process, to enhance the competitiveness of contractors signatory to the prefab agreement, and to separate the </w:t>
      </w:r>
      <w:r w:rsidR="002A34B5">
        <w:rPr>
          <w:rFonts w:ascii="Calibri" w:eastAsia="Calibri" w:hAnsi="Calibri" w:cs="Times New Roman"/>
          <w:bCs/>
          <w:iCs/>
          <w:sz w:val="24"/>
          <w:szCs w:val="24"/>
        </w:rPr>
        <w:t xml:space="preserve">manufacturing application of prefab from the traditional construction process.  This agreement allows a contractor to implement an </w:t>
      </w:r>
      <w:r>
        <w:rPr>
          <w:rFonts w:ascii="Calibri" w:eastAsia="Calibri" w:hAnsi="Calibri" w:cs="Times New Roman"/>
          <w:bCs/>
          <w:iCs/>
          <w:sz w:val="24"/>
          <w:szCs w:val="24"/>
        </w:rPr>
        <w:t>unlimited ratio</w:t>
      </w:r>
      <w:r w:rsidR="002A34B5">
        <w:rPr>
          <w:rFonts w:ascii="Calibri" w:eastAsia="Calibri" w:hAnsi="Calibri" w:cs="Times New Roman"/>
          <w:bCs/>
          <w:iCs/>
          <w:sz w:val="24"/>
          <w:szCs w:val="24"/>
        </w:rPr>
        <w:t xml:space="preserve"> of sub-journeym</w:t>
      </w:r>
      <w:r w:rsidR="004C260D">
        <w:rPr>
          <w:rFonts w:ascii="Calibri" w:eastAsia="Calibri" w:hAnsi="Calibri" w:cs="Times New Roman"/>
          <w:bCs/>
          <w:iCs/>
          <w:sz w:val="24"/>
          <w:szCs w:val="24"/>
        </w:rPr>
        <w:t>e</w:t>
      </w:r>
      <w:r w:rsidR="002A34B5">
        <w:rPr>
          <w:rFonts w:ascii="Calibri" w:eastAsia="Calibri" w:hAnsi="Calibri" w:cs="Times New Roman"/>
          <w:bCs/>
          <w:iCs/>
          <w:sz w:val="24"/>
          <w:szCs w:val="24"/>
        </w:rPr>
        <w:t xml:space="preserve">n to one </w:t>
      </w:r>
      <w:r>
        <w:rPr>
          <w:rFonts w:ascii="Calibri" w:eastAsia="Calibri" w:hAnsi="Calibri" w:cs="Times New Roman"/>
          <w:bCs/>
          <w:iCs/>
          <w:sz w:val="24"/>
          <w:szCs w:val="24"/>
        </w:rPr>
        <w:t xml:space="preserve">(1) journeyman </w:t>
      </w:r>
      <w:r w:rsidR="002A34B5">
        <w:rPr>
          <w:rFonts w:ascii="Calibri" w:eastAsia="Calibri" w:hAnsi="Calibri" w:cs="Times New Roman"/>
          <w:bCs/>
          <w:iCs/>
          <w:sz w:val="24"/>
          <w:szCs w:val="24"/>
        </w:rPr>
        <w:t xml:space="preserve">wireman in the prefab operation and the prefab crew mix does not count as a job ratio </w:t>
      </w:r>
      <w:r w:rsidR="004C260D">
        <w:rPr>
          <w:rFonts w:ascii="Calibri" w:eastAsia="Calibri" w:hAnsi="Calibri" w:cs="Times New Roman"/>
          <w:bCs/>
          <w:iCs/>
          <w:sz w:val="24"/>
          <w:szCs w:val="24"/>
        </w:rPr>
        <w:t xml:space="preserve">under </w:t>
      </w:r>
      <w:r w:rsidR="002A34B5">
        <w:rPr>
          <w:rFonts w:ascii="Calibri" w:eastAsia="Calibri" w:hAnsi="Calibri" w:cs="Times New Roman"/>
          <w:bCs/>
          <w:iCs/>
          <w:sz w:val="24"/>
          <w:szCs w:val="24"/>
        </w:rPr>
        <w:t xml:space="preserve">the inside construction agreement nor </w:t>
      </w:r>
      <w:r w:rsidR="004C260D">
        <w:rPr>
          <w:rFonts w:ascii="Calibri" w:eastAsia="Calibri" w:hAnsi="Calibri" w:cs="Times New Roman"/>
          <w:bCs/>
          <w:iCs/>
          <w:sz w:val="24"/>
          <w:szCs w:val="24"/>
        </w:rPr>
        <w:t xml:space="preserve">count </w:t>
      </w:r>
      <w:r w:rsidR="002A34B5">
        <w:rPr>
          <w:rFonts w:ascii="Calibri" w:eastAsia="Calibri" w:hAnsi="Calibri" w:cs="Times New Roman"/>
          <w:bCs/>
          <w:iCs/>
          <w:sz w:val="24"/>
          <w:szCs w:val="24"/>
        </w:rPr>
        <w:t>against the shop ratio of that agreement.</w:t>
      </w:r>
    </w:p>
    <w:p w14:paraId="57DE621F" w14:textId="77777777" w:rsidR="00463082" w:rsidRPr="00463082" w:rsidRDefault="00463082" w:rsidP="00463082">
      <w:pPr>
        <w:spacing w:after="0" w:line="240" w:lineRule="auto"/>
        <w:ind w:left="720"/>
        <w:rPr>
          <w:rFonts w:ascii="Calibri" w:eastAsia="Calibri" w:hAnsi="Calibri" w:cs="Times New Roman"/>
          <w:bCs/>
          <w:iCs/>
          <w:sz w:val="24"/>
          <w:szCs w:val="24"/>
        </w:rPr>
      </w:pPr>
    </w:p>
    <w:p w14:paraId="096711C3" w14:textId="4181837B" w:rsidR="00463082" w:rsidRPr="002032C2" w:rsidRDefault="00463082" w:rsidP="002032C2">
      <w:pPr>
        <w:pStyle w:val="ListParagraph"/>
        <w:numPr>
          <w:ilvl w:val="0"/>
          <w:numId w:val="3"/>
        </w:numPr>
        <w:spacing w:after="0" w:line="240" w:lineRule="auto"/>
        <w:rPr>
          <w:rFonts w:ascii="Calibri" w:eastAsia="Calibri" w:hAnsi="Calibri" w:cs="Times New Roman"/>
          <w:b/>
          <w:i/>
          <w:sz w:val="24"/>
          <w:szCs w:val="24"/>
        </w:rPr>
      </w:pPr>
      <w:r w:rsidRPr="002032C2">
        <w:rPr>
          <w:rFonts w:ascii="Calibri" w:eastAsia="Calibri" w:hAnsi="Calibri" w:cs="Times New Roman"/>
          <w:b/>
          <w:i/>
          <w:sz w:val="24"/>
          <w:szCs w:val="24"/>
        </w:rPr>
        <w:t>What is required to be able to utilize the agreement?</w:t>
      </w:r>
    </w:p>
    <w:p w14:paraId="522118CA" w14:textId="77777777" w:rsidR="00463082" w:rsidRPr="00463082" w:rsidRDefault="00463082" w:rsidP="00463082">
      <w:pPr>
        <w:spacing w:after="0" w:line="240" w:lineRule="auto"/>
        <w:rPr>
          <w:rFonts w:ascii="Calibri" w:eastAsia="Calibri" w:hAnsi="Calibri" w:cs="Times New Roman"/>
          <w:b/>
          <w:i/>
          <w:sz w:val="24"/>
          <w:szCs w:val="24"/>
        </w:rPr>
      </w:pPr>
    </w:p>
    <w:p w14:paraId="5AC0EB00" w14:textId="77E5D090" w:rsidR="00463082" w:rsidRDefault="00463082" w:rsidP="00463082">
      <w:pPr>
        <w:spacing w:after="0" w:line="240" w:lineRule="auto"/>
        <w:ind w:left="720"/>
        <w:jc w:val="both"/>
        <w:rPr>
          <w:rFonts w:ascii="Calibri" w:eastAsia="Calibri" w:hAnsi="Calibri" w:cs="Times New Roman"/>
          <w:color w:val="FF0000"/>
          <w:sz w:val="24"/>
          <w:szCs w:val="24"/>
        </w:rPr>
      </w:pPr>
      <w:r w:rsidRPr="00463082">
        <w:rPr>
          <w:rFonts w:ascii="Calibri" w:eastAsia="Calibri" w:hAnsi="Calibri" w:cs="Times New Roman"/>
          <w:b/>
          <w:bCs/>
          <w:sz w:val="24"/>
          <w:szCs w:val="24"/>
          <w:u w:val="single"/>
        </w:rPr>
        <w:t>Answer:</w:t>
      </w:r>
      <w:r w:rsidRPr="00463082">
        <w:rPr>
          <w:rFonts w:ascii="Calibri" w:eastAsia="Calibri" w:hAnsi="Calibri" w:cs="Times New Roman"/>
          <w:sz w:val="24"/>
          <w:szCs w:val="24"/>
        </w:rPr>
        <w:t xml:space="preserve">  A contractor must sign a letter of assent to the IBEW Tenth District </w:t>
      </w:r>
      <w:r w:rsidR="002A34B5">
        <w:rPr>
          <w:rFonts w:ascii="Calibri" w:eastAsia="Calibri" w:hAnsi="Calibri" w:cs="Times New Roman"/>
          <w:sz w:val="24"/>
          <w:szCs w:val="24"/>
        </w:rPr>
        <w:t xml:space="preserve">Prefab and </w:t>
      </w:r>
      <w:r w:rsidRPr="00463082">
        <w:rPr>
          <w:rFonts w:ascii="Calibri" w:eastAsia="Calibri" w:hAnsi="Calibri" w:cs="Times New Roman"/>
          <w:sz w:val="24"/>
          <w:szCs w:val="24"/>
        </w:rPr>
        <w:t>sign a letter of assent to the site local union inside agreement</w:t>
      </w:r>
      <w:r w:rsidR="002A34B5">
        <w:rPr>
          <w:rFonts w:ascii="Calibri" w:eastAsia="Calibri" w:hAnsi="Calibri" w:cs="Times New Roman"/>
          <w:sz w:val="24"/>
          <w:szCs w:val="24"/>
        </w:rPr>
        <w:t>.</w:t>
      </w:r>
      <w:r w:rsidRPr="00463082">
        <w:rPr>
          <w:rFonts w:ascii="Calibri" w:eastAsia="Calibri" w:hAnsi="Calibri" w:cs="Times New Roman"/>
          <w:color w:val="FF0000"/>
          <w:sz w:val="24"/>
          <w:szCs w:val="24"/>
        </w:rPr>
        <w:t xml:space="preserve"> </w:t>
      </w:r>
    </w:p>
    <w:p w14:paraId="5E8AF3CA" w14:textId="13B787B8" w:rsidR="00463082" w:rsidRDefault="00463082" w:rsidP="00463082">
      <w:pPr>
        <w:spacing w:after="0" w:line="240" w:lineRule="auto"/>
        <w:ind w:left="720"/>
        <w:jc w:val="both"/>
        <w:rPr>
          <w:rFonts w:ascii="Calibri" w:eastAsia="Calibri" w:hAnsi="Calibri" w:cs="Times New Roman"/>
          <w:i/>
          <w:iCs/>
          <w:sz w:val="24"/>
          <w:szCs w:val="24"/>
        </w:rPr>
      </w:pPr>
    </w:p>
    <w:p w14:paraId="5F46D0C3" w14:textId="6CA55F26" w:rsidR="00463082" w:rsidRPr="002032C2" w:rsidRDefault="00463082" w:rsidP="002032C2">
      <w:pPr>
        <w:pStyle w:val="ListParagraph"/>
        <w:numPr>
          <w:ilvl w:val="0"/>
          <w:numId w:val="3"/>
        </w:numPr>
        <w:spacing w:after="0" w:line="240" w:lineRule="auto"/>
        <w:rPr>
          <w:rFonts w:ascii="Calibri" w:eastAsia="Calibri" w:hAnsi="Calibri" w:cs="Times New Roman"/>
          <w:b/>
          <w:i/>
          <w:sz w:val="24"/>
          <w:szCs w:val="24"/>
        </w:rPr>
      </w:pPr>
      <w:r w:rsidRPr="002032C2">
        <w:rPr>
          <w:rFonts w:ascii="Calibri" w:eastAsia="Calibri" w:hAnsi="Calibri" w:cs="Times New Roman"/>
          <w:b/>
          <w:i/>
          <w:sz w:val="24"/>
          <w:szCs w:val="24"/>
        </w:rPr>
        <w:t xml:space="preserve">What is the jurisdiction of the agreement? </w:t>
      </w:r>
    </w:p>
    <w:p w14:paraId="3AC3AD3F" w14:textId="77777777" w:rsidR="00463082" w:rsidRPr="00463082" w:rsidRDefault="00463082" w:rsidP="00463082">
      <w:pPr>
        <w:spacing w:after="0" w:line="240" w:lineRule="auto"/>
        <w:rPr>
          <w:rFonts w:ascii="Calibri" w:eastAsia="Calibri" w:hAnsi="Calibri" w:cs="Times New Roman"/>
          <w:b/>
          <w:i/>
          <w:sz w:val="24"/>
          <w:szCs w:val="24"/>
        </w:rPr>
      </w:pPr>
    </w:p>
    <w:p w14:paraId="7FDA0CA5" w14:textId="2441B8C4" w:rsidR="00463082" w:rsidRPr="00463082" w:rsidRDefault="00463082" w:rsidP="00463082">
      <w:pPr>
        <w:spacing w:after="0" w:line="240" w:lineRule="auto"/>
        <w:ind w:left="720"/>
        <w:jc w:val="both"/>
        <w:rPr>
          <w:rFonts w:ascii="Calibri" w:eastAsia="Calibri" w:hAnsi="Calibri" w:cs="Times New Roman"/>
          <w:sz w:val="24"/>
          <w:szCs w:val="24"/>
        </w:rPr>
      </w:pPr>
      <w:r w:rsidRPr="00463082">
        <w:rPr>
          <w:rFonts w:ascii="Calibri" w:eastAsia="Calibri" w:hAnsi="Calibri" w:cs="Times New Roman"/>
          <w:b/>
          <w:bCs/>
          <w:sz w:val="24"/>
          <w:szCs w:val="24"/>
          <w:u w:val="single"/>
        </w:rPr>
        <w:t>Answer:</w:t>
      </w:r>
      <w:r w:rsidRPr="00463082">
        <w:rPr>
          <w:rFonts w:ascii="Calibri" w:eastAsia="Calibri" w:hAnsi="Calibri" w:cs="Times New Roman"/>
          <w:sz w:val="24"/>
          <w:szCs w:val="24"/>
        </w:rPr>
        <w:t xml:space="preserve">  The IBEW Tenth District </w:t>
      </w:r>
      <w:r w:rsidR="002A34B5">
        <w:rPr>
          <w:rFonts w:ascii="Calibri" w:eastAsia="Calibri" w:hAnsi="Calibri" w:cs="Times New Roman"/>
          <w:sz w:val="24"/>
          <w:szCs w:val="24"/>
        </w:rPr>
        <w:t xml:space="preserve">Prefab </w:t>
      </w:r>
      <w:r w:rsidRPr="00463082">
        <w:rPr>
          <w:rFonts w:ascii="Calibri" w:eastAsia="Calibri" w:hAnsi="Calibri" w:cs="Times New Roman"/>
          <w:sz w:val="24"/>
          <w:szCs w:val="24"/>
        </w:rPr>
        <w:t xml:space="preserve">Agreement can be used in all Tenth District local union jurisdictions </w:t>
      </w:r>
      <w:r w:rsidRPr="00463082">
        <w:rPr>
          <w:rFonts w:ascii="Calibri" w:eastAsia="Calibri" w:hAnsi="Calibri" w:cs="Times New Roman"/>
          <w:b/>
          <w:bCs/>
          <w:i/>
          <w:iCs/>
          <w:sz w:val="24"/>
          <w:szCs w:val="24"/>
          <w:u w:val="single"/>
        </w:rPr>
        <w:t>except for</w:t>
      </w:r>
      <w:r w:rsidRPr="00463082">
        <w:rPr>
          <w:rFonts w:ascii="Calibri" w:eastAsia="Calibri" w:hAnsi="Calibri" w:cs="Times New Roman"/>
          <w:sz w:val="24"/>
          <w:szCs w:val="24"/>
        </w:rPr>
        <w:t xml:space="preserve"> LU 175 (Chattanooga). </w:t>
      </w:r>
      <w:r w:rsidRPr="002A34B5">
        <w:rPr>
          <w:rFonts w:ascii="Calibri" w:eastAsia="Calibri" w:hAnsi="Calibri" w:cs="Times New Roman"/>
          <w:sz w:val="24"/>
          <w:szCs w:val="24"/>
        </w:rPr>
        <w:t>While Local Unions 175</w:t>
      </w:r>
      <w:r w:rsidR="00357B12">
        <w:rPr>
          <w:rFonts w:ascii="Calibri" w:eastAsia="Calibri" w:hAnsi="Calibri" w:cs="Times New Roman"/>
          <w:sz w:val="24"/>
          <w:szCs w:val="24"/>
        </w:rPr>
        <w:t xml:space="preserve"> is</w:t>
      </w:r>
      <w:r w:rsidRPr="002A34B5">
        <w:rPr>
          <w:rFonts w:ascii="Calibri" w:eastAsia="Calibri" w:hAnsi="Calibri" w:cs="Times New Roman"/>
          <w:sz w:val="24"/>
          <w:szCs w:val="24"/>
        </w:rPr>
        <w:t xml:space="preserve"> not signatory to the District </w:t>
      </w:r>
      <w:r w:rsidR="002A34B5">
        <w:rPr>
          <w:rFonts w:ascii="Calibri" w:eastAsia="Calibri" w:hAnsi="Calibri" w:cs="Times New Roman"/>
          <w:sz w:val="24"/>
          <w:szCs w:val="24"/>
        </w:rPr>
        <w:t>Prefab Agreement, t</w:t>
      </w:r>
      <w:r w:rsidRPr="002A34B5">
        <w:rPr>
          <w:rFonts w:ascii="Calibri" w:eastAsia="Calibri" w:hAnsi="Calibri" w:cs="Times New Roman"/>
          <w:sz w:val="24"/>
          <w:szCs w:val="24"/>
        </w:rPr>
        <w:t xml:space="preserve">hey are willing to work with contractors in gaining work in their jurisdictions. If you desire to work under the terms of the District </w:t>
      </w:r>
      <w:r w:rsidR="002A34B5">
        <w:rPr>
          <w:rFonts w:ascii="Calibri" w:eastAsia="Calibri" w:hAnsi="Calibri" w:cs="Times New Roman"/>
          <w:sz w:val="24"/>
          <w:szCs w:val="24"/>
        </w:rPr>
        <w:t>Prefab A</w:t>
      </w:r>
      <w:r w:rsidRPr="002A34B5">
        <w:rPr>
          <w:rFonts w:ascii="Calibri" w:eastAsia="Calibri" w:hAnsi="Calibri" w:cs="Times New Roman"/>
          <w:sz w:val="24"/>
          <w:szCs w:val="24"/>
        </w:rPr>
        <w:t>greement, you should contact the respective local union directly regarding a possible variance and/or project agreement.</w:t>
      </w:r>
    </w:p>
    <w:p w14:paraId="6B241012" w14:textId="77777777" w:rsidR="00463082" w:rsidRPr="00463082" w:rsidRDefault="00463082" w:rsidP="00463082">
      <w:pPr>
        <w:spacing w:after="0" w:line="240" w:lineRule="auto"/>
        <w:ind w:left="720"/>
        <w:rPr>
          <w:rFonts w:ascii="Calibri" w:eastAsia="Calibri" w:hAnsi="Calibri" w:cs="Times New Roman"/>
          <w:sz w:val="24"/>
          <w:szCs w:val="24"/>
        </w:rPr>
      </w:pPr>
    </w:p>
    <w:p w14:paraId="72E81FCD" w14:textId="2A5544F6" w:rsidR="00463082" w:rsidRPr="002032C2" w:rsidRDefault="002032C2" w:rsidP="007523B0">
      <w:pPr>
        <w:spacing w:after="0" w:line="240" w:lineRule="auto"/>
        <w:ind w:left="720" w:hanging="360"/>
        <w:jc w:val="both"/>
        <w:rPr>
          <w:rFonts w:ascii="Calibri" w:eastAsia="Calibri" w:hAnsi="Calibri" w:cs="Times New Roman"/>
          <w:b/>
          <w:bCs/>
          <w:i/>
          <w:iCs/>
          <w:sz w:val="24"/>
          <w:szCs w:val="24"/>
        </w:rPr>
      </w:pPr>
      <w:r>
        <w:rPr>
          <w:rFonts w:ascii="Calibri" w:eastAsia="Calibri" w:hAnsi="Calibri" w:cs="Times New Roman"/>
          <w:b/>
          <w:iCs/>
          <w:sz w:val="24"/>
          <w:szCs w:val="24"/>
        </w:rPr>
        <w:t>4</w:t>
      </w:r>
      <w:r w:rsidR="00463082" w:rsidRPr="00463082">
        <w:rPr>
          <w:rFonts w:ascii="Calibri" w:eastAsia="Calibri" w:hAnsi="Calibri" w:cs="Times New Roman"/>
          <w:b/>
          <w:iCs/>
          <w:sz w:val="24"/>
          <w:szCs w:val="24"/>
        </w:rPr>
        <w:tab/>
      </w:r>
      <w:r w:rsidR="00463082" w:rsidRPr="002032C2">
        <w:rPr>
          <w:rFonts w:ascii="Calibri" w:eastAsia="Calibri" w:hAnsi="Calibri" w:cs="Times New Roman"/>
          <w:b/>
          <w:bCs/>
          <w:i/>
          <w:iCs/>
          <w:sz w:val="24"/>
          <w:szCs w:val="24"/>
        </w:rPr>
        <w:t>Where should a contractor send a Request for Variance?</w:t>
      </w:r>
    </w:p>
    <w:p w14:paraId="4E19015E" w14:textId="77777777" w:rsidR="00463082" w:rsidRPr="00463082" w:rsidRDefault="00463082" w:rsidP="00463082">
      <w:pPr>
        <w:spacing w:after="0" w:line="240" w:lineRule="auto"/>
        <w:ind w:left="720"/>
        <w:rPr>
          <w:rFonts w:ascii="Calibri" w:eastAsia="Calibri" w:hAnsi="Calibri" w:cs="Times New Roman"/>
          <w:sz w:val="24"/>
          <w:szCs w:val="24"/>
        </w:rPr>
      </w:pPr>
    </w:p>
    <w:p w14:paraId="305663C4" w14:textId="27C25A60" w:rsidR="00463082" w:rsidRPr="00463082" w:rsidRDefault="00463082" w:rsidP="00463082">
      <w:pPr>
        <w:spacing w:after="0" w:line="240" w:lineRule="auto"/>
        <w:ind w:left="720"/>
        <w:jc w:val="both"/>
        <w:rPr>
          <w:rFonts w:ascii="Calibri" w:eastAsia="Calibri" w:hAnsi="Calibri" w:cs="Times New Roman"/>
          <w:sz w:val="24"/>
          <w:szCs w:val="24"/>
        </w:rPr>
      </w:pPr>
      <w:r w:rsidRPr="00463082">
        <w:rPr>
          <w:rFonts w:ascii="Calibri" w:eastAsia="Calibri" w:hAnsi="Calibri" w:cs="Times New Roman"/>
          <w:b/>
          <w:bCs/>
          <w:sz w:val="24"/>
          <w:szCs w:val="24"/>
          <w:u w:val="single"/>
        </w:rPr>
        <w:t>Answer:</w:t>
      </w:r>
      <w:r w:rsidRPr="00463082">
        <w:rPr>
          <w:rFonts w:ascii="Calibri" w:eastAsia="Calibri" w:hAnsi="Calibri" w:cs="Times New Roman"/>
          <w:sz w:val="24"/>
          <w:szCs w:val="24"/>
        </w:rPr>
        <w:t xml:space="preserve">  A contractor should submit requests for variance, using the prescribed Tenth District </w:t>
      </w:r>
      <w:r w:rsidR="007523B0">
        <w:rPr>
          <w:rFonts w:ascii="Calibri" w:eastAsia="Calibri" w:hAnsi="Calibri" w:cs="Times New Roman"/>
          <w:sz w:val="24"/>
          <w:szCs w:val="24"/>
        </w:rPr>
        <w:t xml:space="preserve">Prefab </w:t>
      </w:r>
      <w:r w:rsidRPr="00463082">
        <w:rPr>
          <w:rFonts w:ascii="Calibri" w:eastAsia="Calibri" w:hAnsi="Calibri" w:cs="Times New Roman"/>
          <w:sz w:val="24"/>
          <w:szCs w:val="24"/>
        </w:rPr>
        <w:t>Agreement Variance Request Form, to the appropriate (site) NECA Chapter with a copy to the site local union.</w:t>
      </w:r>
    </w:p>
    <w:p w14:paraId="7D3E3043" w14:textId="77777777" w:rsidR="00463082" w:rsidRPr="00463082" w:rsidRDefault="00463082" w:rsidP="00463082">
      <w:pPr>
        <w:spacing w:after="0" w:line="240" w:lineRule="auto"/>
        <w:ind w:left="720"/>
        <w:contextualSpacing/>
        <w:rPr>
          <w:rFonts w:ascii="Calibri" w:eastAsia="Calibri" w:hAnsi="Calibri" w:cs="Times New Roman"/>
          <w:sz w:val="24"/>
          <w:szCs w:val="24"/>
        </w:rPr>
      </w:pPr>
    </w:p>
    <w:p w14:paraId="55CE8747" w14:textId="6582375A" w:rsidR="00463082" w:rsidRPr="0011217D" w:rsidRDefault="00463082" w:rsidP="007523B0">
      <w:pPr>
        <w:pStyle w:val="ListParagraph"/>
        <w:numPr>
          <w:ilvl w:val="0"/>
          <w:numId w:val="5"/>
        </w:numPr>
        <w:spacing w:after="0" w:line="240" w:lineRule="auto"/>
        <w:jc w:val="both"/>
        <w:rPr>
          <w:rFonts w:ascii="Calibri" w:eastAsia="Calibri" w:hAnsi="Calibri" w:cs="Times New Roman"/>
          <w:b/>
          <w:bCs/>
          <w:i/>
          <w:iCs/>
          <w:sz w:val="24"/>
          <w:szCs w:val="24"/>
        </w:rPr>
      </w:pPr>
      <w:r w:rsidRPr="0011217D">
        <w:rPr>
          <w:rFonts w:ascii="Calibri" w:eastAsia="Calibri" w:hAnsi="Calibri" w:cs="Times New Roman"/>
          <w:b/>
          <w:bCs/>
          <w:i/>
          <w:iCs/>
          <w:sz w:val="24"/>
          <w:szCs w:val="24"/>
        </w:rPr>
        <w:t xml:space="preserve">What are the time thresholds for a variance request to be submitted and the subsequent response to be returned? </w:t>
      </w:r>
    </w:p>
    <w:p w14:paraId="6F28A241" w14:textId="77777777" w:rsidR="00463082" w:rsidRPr="00463082" w:rsidRDefault="00463082" w:rsidP="00463082">
      <w:pPr>
        <w:spacing w:after="0" w:line="240" w:lineRule="auto"/>
        <w:ind w:left="720"/>
        <w:rPr>
          <w:rFonts w:ascii="Calibri" w:eastAsia="Calibri" w:hAnsi="Calibri" w:cs="Times New Roman"/>
          <w:b/>
          <w:sz w:val="24"/>
          <w:szCs w:val="24"/>
          <w:u w:val="single"/>
        </w:rPr>
      </w:pPr>
    </w:p>
    <w:p w14:paraId="04E5944C" w14:textId="7530D2FC" w:rsidR="00463082" w:rsidRPr="00463082" w:rsidRDefault="00463082" w:rsidP="00463082">
      <w:pPr>
        <w:spacing w:after="0" w:line="240" w:lineRule="auto"/>
        <w:ind w:left="720"/>
        <w:jc w:val="both"/>
        <w:rPr>
          <w:rFonts w:ascii="Calibri" w:eastAsia="Calibri" w:hAnsi="Calibri" w:cs="Times New Roman"/>
          <w:sz w:val="24"/>
          <w:szCs w:val="24"/>
        </w:rPr>
      </w:pPr>
      <w:r w:rsidRPr="00463082">
        <w:rPr>
          <w:rFonts w:ascii="Calibri" w:eastAsia="Calibri" w:hAnsi="Calibri" w:cs="Times New Roman"/>
          <w:b/>
          <w:bCs/>
          <w:sz w:val="24"/>
          <w:szCs w:val="24"/>
          <w:u w:val="single"/>
        </w:rPr>
        <w:t>Answer:</w:t>
      </w:r>
      <w:r w:rsidRPr="00463082">
        <w:rPr>
          <w:rFonts w:ascii="Calibri" w:eastAsia="Calibri" w:hAnsi="Calibri" w:cs="Times New Roman"/>
          <w:sz w:val="24"/>
          <w:szCs w:val="24"/>
        </w:rPr>
        <w:t xml:space="preserve">  Variance requests must be made by the contractor on the Tenth District </w:t>
      </w:r>
      <w:r w:rsidR="007523B0">
        <w:rPr>
          <w:rFonts w:ascii="Calibri" w:eastAsia="Calibri" w:hAnsi="Calibri" w:cs="Times New Roman"/>
          <w:sz w:val="24"/>
          <w:szCs w:val="24"/>
        </w:rPr>
        <w:t xml:space="preserve">Prefab </w:t>
      </w:r>
      <w:r w:rsidRPr="00463082">
        <w:rPr>
          <w:rFonts w:ascii="Calibri" w:eastAsia="Calibri" w:hAnsi="Calibri" w:cs="Times New Roman"/>
          <w:sz w:val="24"/>
          <w:szCs w:val="24"/>
        </w:rPr>
        <w:t xml:space="preserve">Agreement Variance Request Form at least five (5) working days prior to the bid date and time of a project.  The site local union will provide a decision on the variance request to the appropriate (site) NECA Chapter within two (2) working days after receiving the variance request. </w:t>
      </w:r>
    </w:p>
    <w:p w14:paraId="7676E4AC" w14:textId="77777777" w:rsidR="00463082" w:rsidRPr="00463082" w:rsidRDefault="00463082" w:rsidP="00463082">
      <w:pPr>
        <w:spacing w:after="0" w:line="240" w:lineRule="auto"/>
        <w:ind w:left="720"/>
        <w:rPr>
          <w:rFonts w:ascii="Calibri" w:eastAsia="Calibri" w:hAnsi="Calibri" w:cs="Times New Roman"/>
          <w:sz w:val="24"/>
          <w:szCs w:val="24"/>
        </w:rPr>
      </w:pPr>
    </w:p>
    <w:p w14:paraId="4A2F9C1C" w14:textId="77777777" w:rsidR="00463082" w:rsidRPr="00463082" w:rsidRDefault="00463082" w:rsidP="007523B0">
      <w:pPr>
        <w:numPr>
          <w:ilvl w:val="0"/>
          <w:numId w:val="5"/>
        </w:numPr>
        <w:spacing w:after="0" w:line="240" w:lineRule="auto"/>
        <w:contextualSpacing/>
        <w:rPr>
          <w:rFonts w:ascii="Calibri" w:eastAsia="Calibri" w:hAnsi="Calibri" w:cs="Times New Roman"/>
          <w:b/>
          <w:bCs/>
          <w:i/>
          <w:iCs/>
          <w:sz w:val="24"/>
          <w:szCs w:val="24"/>
        </w:rPr>
      </w:pPr>
      <w:r w:rsidRPr="00463082">
        <w:rPr>
          <w:rFonts w:ascii="Calibri" w:eastAsia="Calibri" w:hAnsi="Calibri" w:cs="Times New Roman"/>
          <w:b/>
          <w:bCs/>
          <w:i/>
          <w:iCs/>
          <w:sz w:val="24"/>
          <w:szCs w:val="24"/>
        </w:rPr>
        <w:t>Where does the variance request response get sent?</w:t>
      </w:r>
    </w:p>
    <w:p w14:paraId="1F84C14E" w14:textId="77777777" w:rsidR="00463082" w:rsidRPr="00463082" w:rsidRDefault="00463082" w:rsidP="00463082">
      <w:pPr>
        <w:spacing w:after="0" w:line="240" w:lineRule="auto"/>
        <w:rPr>
          <w:rFonts w:ascii="Calibri" w:eastAsia="Calibri" w:hAnsi="Calibri" w:cs="Times New Roman"/>
          <w:sz w:val="24"/>
          <w:szCs w:val="24"/>
        </w:rPr>
      </w:pPr>
    </w:p>
    <w:p w14:paraId="42F88CBA" w14:textId="77777777" w:rsidR="00463082" w:rsidRPr="00463082" w:rsidRDefault="00463082" w:rsidP="00463082">
      <w:pPr>
        <w:spacing w:after="0" w:line="240" w:lineRule="auto"/>
        <w:ind w:left="720"/>
        <w:jc w:val="both"/>
        <w:rPr>
          <w:rFonts w:ascii="Calibri" w:eastAsia="Calibri" w:hAnsi="Calibri" w:cs="Times New Roman"/>
          <w:sz w:val="24"/>
          <w:szCs w:val="24"/>
        </w:rPr>
      </w:pPr>
      <w:r w:rsidRPr="00463082">
        <w:rPr>
          <w:rFonts w:ascii="Calibri" w:eastAsia="Calibri" w:hAnsi="Calibri" w:cs="Times New Roman"/>
          <w:b/>
          <w:bCs/>
          <w:sz w:val="24"/>
          <w:szCs w:val="24"/>
          <w:u w:val="single"/>
        </w:rPr>
        <w:t>Answer:</w:t>
      </w:r>
      <w:r w:rsidRPr="00463082">
        <w:rPr>
          <w:rFonts w:ascii="Calibri" w:eastAsia="Calibri" w:hAnsi="Calibri" w:cs="Times New Roman"/>
          <w:sz w:val="24"/>
          <w:szCs w:val="24"/>
        </w:rPr>
        <w:t xml:space="preserve">  The variance request response is to be sent by the site local union to the appropriate (site) NECA Chapter.  The NECA Chapter is responsible for informing all contractors bidding on a job as to what, if any, variance has been granted.</w:t>
      </w:r>
    </w:p>
    <w:p w14:paraId="543B88AC" w14:textId="77777777" w:rsidR="00463082" w:rsidRPr="00463082" w:rsidRDefault="00463082" w:rsidP="00463082">
      <w:pPr>
        <w:spacing w:after="0" w:line="240" w:lineRule="auto"/>
        <w:ind w:left="720"/>
        <w:rPr>
          <w:rFonts w:ascii="Calibri" w:eastAsia="Calibri" w:hAnsi="Calibri" w:cs="Times New Roman"/>
          <w:sz w:val="24"/>
          <w:szCs w:val="24"/>
        </w:rPr>
      </w:pPr>
    </w:p>
    <w:p w14:paraId="21EDC0FA" w14:textId="77777777" w:rsidR="0084272F" w:rsidRDefault="0084272F" w:rsidP="00463082">
      <w:pPr>
        <w:spacing w:after="0" w:line="240" w:lineRule="auto"/>
        <w:ind w:left="720" w:hanging="360"/>
        <w:jc w:val="both"/>
        <w:rPr>
          <w:rFonts w:ascii="Calibri" w:eastAsia="Calibri" w:hAnsi="Calibri" w:cs="Times New Roman"/>
          <w:b/>
          <w:bCs/>
          <w:sz w:val="24"/>
          <w:szCs w:val="24"/>
        </w:rPr>
      </w:pPr>
    </w:p>
    <w:p w14:paraId="3B39D820" w14:textId="1B8A4109" w:rsidR="00463082" w:rsidRPr="00463082" w:rsidRDefault="007523B0" w:rsidP="00463082">
      <w:pPr>
        <w:spacing w:after="0" w:line="240" w:lineRule="auto"/>
        <w:ind w:left="720" w:hanging="360"/>
        <w:jc w:val="both"/>
        <w:rPr>
          <w:rFonts w:ascii="Calibri" w:eastAsia="Calibri" w:hAnsi="Calibri" w:cs="Times New Roman"/>
          <w:sz w:val="24"/>
          <w:szCs w:val="24"/>
        </w:rPr>
      </w:pPr>
      <w:r>
        <w:rPr>
          <w:rFonts w:ascii="Calibri" w:eastAsia="Calibri" w:hAnsi="Calibri" w:cs="Times New Roman"/>
          <w:b/>
          <w:bCs/>
          <w:sz w:val="24"/>
          <w:szCs w:val="24"/>
        </w:rPr>
        <w:lastRenderedPageBreak/>
        <w:t xml:space="preserve">7   </w:t>
      </w:r>
      <w:r w:rsidR="00463082" w:rsidRPr="00463082">
        <w:rPr>
          <w:rFonts w:ascii="Calibri" w:eastAsia="Calibri" w:hAnsi="Calibri" w:cs="Times New Roman"/>
          <w:sz w:val="24"/>
          <w:szCs w:val="24"/>
        </w:rPr>
        <w:t xml:space="preserve"> </w:t>
      </w:r>
      <w:r w:rsidR="005E51B4" w:rsidRPr="0011217D">
        <w:rPr>
          <w:rFonts w:ascii="Calibri" w:eastAsia="Calibri" w:hAnsi="Calibri" w:cs="Times New Roman"/>
          <w:b/>
          <w:bCs/>
          <w:i/>
          <w:iCs/>
          <w:sz w:val="24"/>
          <w:szCs w:val="24"/>
        </w:rPr>
        <w:t>What is the manpower portability provision within the IBEW Tenth District Prefab Agreement</w:t>
      </w:r>
      <w:r w:rsidR="00463082" w:rsidRPr="0011217D">
        <w:rPr>
          <w:rFonts w:ascii="Calibri" w:eastAsia="Calibri" w:hAnsi="Calibri" w:cs="Times New Roman"/>
          <w:b/>
          <w:bCs/>
          <w:i/>
          <w:iCs/>
          <w:sz w:val="24"/>
          <w:szCs w:val="24"/>
        </w:rPr>
        <w:t>?</w:t>
      </w:r>
    </w:p>
    <w:p w14:paraId="352522DC" w14:textId="77777777" w:rsidR="00463082" w:rsidRPr="00463082" w:rsidRDefault="00463082" w:rsidP="00463082">
      <w:pPr>
        <w:spacing w:after="0" w:line="240" w:lineRule="auto"/>
        <w:ind w:left="720" w:hanging="360"/>
        <w:jc w:val="both"/>
        <w:rPr>
          <w:rFonts w:ascii="Calibri" w:eastAsia="Calibri" w:hAnsi="Calibri" w:cs="Times New Roman"/>
          <w:sz w:val="24"/>
          <w:szCs w:val="24"/>
        </w:rPr>
      </w:pPr>
    </w:p>
    <w:p w14:paraId="6CB72697" w14:textId="011CA772" w:rsidR="00463082" w:rsidRPr="00463082" w:rsidRDefault="00463082" w:rsidP="00463082">
      <w:pPr>
        <w:spacing w:after="0" w:line="240" w:lineRule="auto"/>
        <w:ind w:left="720" w:hanging="360"/>
        <w:jc w:val="both"/>
        <w:rPr>
          <w:rFonts w:ascii="Calibri" w:eastAsia="Calibri" w:hAnsi="Calibri" w:cs="Times New Roman"/>
          <w:sz w:val="24"/>
          <w:szCs w:val="24"/>
        </w:rPr>
      </w:pPr>
      <w:r w:rsidRPr="00463082">
        <w:rPr>
          <w:rFonts w:ascii="Calibri" w:eastAsia="Calibri" w:hAnsi="Calibri" w:cs="Times New Roman"/>
          <w:sz w:val="24"/>
          <w:szCs w:val="24"/>
        </w:rPr>
        <w:tab/>
      </w:r>
      <w:r w:rsidRPr="00463082">
        <w:rPr>
          <w:rFonts w:ascii="Calibri" w:eastAsia="Calibri" w:hAnsi="Calibri" w:cs="Times New Roman"/>
          <w:b/>
          <w:bCs/>
          <w:sz w:val="24"/>
          <w:szCs w:val="24"/>
          <w:u w:val="single"/>
        </w:rPr>
        <w:t>Answer:</w:t>
      </w:r>
      <w:r w:rsidRPr="00463082">
        <w:rPr>
          <w:rFonts w:ascii="Calibri" w:eastAsia="Calibri" w:hAnsi="Calibri" w:cs="Times New Roman"/>
          <w:sz w:val="24"/>
          <w:szCs w:val="24"/>
        </w:rPr>
        <w:t xml:space="preserve">  Employers </w:t>
      </w:r>
      <w:r w:rsidR="00931C65">
        <w:rPr>
          <w:rFonts w:ascii="Calibri" w:eastAsia="Calibri" w:hAnsi="Calibri" w:cs="Times New Roman"/>
          <w:sz w:val="24"/>
          <w:szCs w:val="24"/>
        </w:rPr>
        <w:t xml:space="preserve">domiciled within the IBEW Tenth District </w:t>
      </w:r>
      <w:r w:rsidRPr="00463082">
        <w:rPr>
          <w:rFonts w:ascii="Calibri" w:eastAsia="Calibri" w:hAnsi="Calibri" w:cs="Times New Roman"/>
          <w:sz w:val="24"/>
          <w:szCs w:val="24"/>
        </w:rPr>
        <w:t xml:space="preserve">shall have full portability of manpower within the inside jurisdiction </w:t>
      </w:r>
      <w:r w:rsidR="00931C65">
        <w:rPr>
          <w:rFonts w:ascii="Calibri" w:eastAsia="Calibri" w:hAnsi="Calibri" w:cs="Times New Roman"/>
          <w:sz w:val="24"/>
          <w:szCs w:val="24"/>
        </w:rPr>
        <w:t xml:space="preserve">throughout </w:t>
      </w:r>
      <w:r w:rsidRPr="00463082">
        <w:rPr>
          <w:rFonts w:ascii="Calibri" w:eastAsia="Calibri" w:hAnsi="Calibri" w:cs="Times New Roman"/>
          <w:sz w:val="24"/>
          <w:szCs w:val="24"/>
        </w:rPr>
        <w:t xml:space="preserve">the </w:t>
      </w:r>
      <w:r w:rsidR="009D0C01" w:rsidRPr="009D0C01">
        <w:rPr>
          <w:rFonts w:ascii="Calibri" w:eastAsia="Calibri" w:hAnsi="Calibri" w:cs="Times New Roman"/>
          <w:sz w:val="24"/>
          <w:szCs w:val="24"/>
        </w:rPr>
        <w:t xml:space="preserve">IBEW Tenth District </w:t>
      </w:r>
      <w:r w:rsidR="009D0C01" w:rsidRPr="009D0C01">
        <w:rPr>
          <w:rFonts w:ascii="Calibri" w:eastAsia="Calibri" w:hAnsi="Calibri" w:cs="Times New Roman"/>
          <w:i/>
          <w:iCs/>
          <w:sz w:val="24"/>
          <w:szCs w:val="24"/>
          <w:u w:val="single"/>
        </w:rPr>
        <w:t>as defined in Question/Answer #3</w:t>
      </w:r>
      <w:r w:rsidR="009D0C01" w:rsidRPr="009D0C01">
        <w:rPr>
          <w:rFonts w:ascii="Calibri" w:eastAsia="Calibri" w:hAnsi="Calibri" w:cs="Times New Roman"/>
          <w:sz w:val="24"/>
          <w:szCs w:val="24"/>
        </w:rPr>
        <w:t>.</w:t>
      </w:r>
      <w:r w:rsidRPr="00463082">
        <w:rPr>
          <w:rFonts w:ascii="Calibri" w:eastAsia="Calibri" w:hAnsi="Calibri" w:cs="Times New Roman"/>
          <w:sz w:val="24"/>
          <w:szCs w:val="24"/>
        </w:rPr>
        <w:t xml:space="preserve">  For the purpose of this agreement, full portability shall mean those employees employed by the employer for a minimum of two (2) weeks.</w:t>
      </w:r>
      <w:r w:rsidR="00442438">
        <w:rPr>
          <w:rFonts w:ascii="Calibri" w:eastAsia="Calibri" w:hAnsi="Calibri" w:cs="Times New Roman"/>
          <w:sz w:val="24"/>
          <w:szCs w:val="24"/>
        </w:rPr>
        <w:t xml:space="preserve">  For employers domiciled outside of the </w:t>
      </w:r>
      <w:r w:rsidR="000873C0">
        <w:rPr>
          <w:rFonts w:ascii="Calibri" w:eastAsia="Calibri" w:hAnsi="Calibri" w:cs="Times New Roman"/>
          <w:sz w:val="24"/>
          <w:szCs w:val="24"/>
        </w:rPr>
        <w:t>IBEW Tenth District, the terms and conditions of the National Portability Agreement shall apply.</w:t>
      </w:r>
    </w:p>
    <w:p w14:paraId="4950526F" w14:textId="77777777" w:rsidR="00463082" w:rsidRPr="00463082" w:rsidRDefault="00463082" w:rsidP="00463082">
      <w:pPr>
        <w:spacing w:after="0" w:line="240" w:lineRule="auto"/>
        <w:ind w:left="720" w:hanging="360"/>
        <w:jc w:val="both"/>
        <w:rPr>
          <w:rFonts w:ascii="Calibri" w:eastAsia="Calibri" w:hAnsi="Calibri" w:cs="Times New Roman"/>
          <w:sz w:val="24"/>
          <w:szCs w:val="24"/>
        </w:rPr>
      </w:pPr>
    </w:p>
    <w:p w14:paraId="2977559A" w14:textId="7E4F6EA1" w:rsidR="00463082" w:rsidRPr="00463082" w:rsidRDefault="007523B0" w:rsidP="00463082">
      <w:pPr>
        <w:spacing w:after="0" w:line="240" w:lineRule="auto"/>
        <w:ind w:left="720" w:hanging="360"/>
        <w:jc w:val="both"/>
        <w:rPr>
          <w:rFonts w:ascii="Calibri" w:eastAsia="Calibri" w:hAnsi="Calibri" w:cs="Times New Roman"/>
          <w:sz w:val="24"/>
          <w:szCs w:val="24"/>
        </w:rPr>
      </w:pPr>
      <w:r>
        <w:rPr>
          <w:rFonts w:ascii="Calibri" w:eastAsia="Calibri" w:hAnsi="Calibri" w:cs="Times New Roman"/>
          <w:b/>
          <w:bCs/>
          <w:sz w:val="24"/>
          <w:szCs w:val="24"/>
        </w:rPr>
        <w:t xml:space="preserve">8   </w:t>
      </w:r>
      <w:r w:rsidR="00463082" w:rsidRPr="00463082">
        <w:rPr>
          <w:rFonts w:ascii="Calibri" w:eastAsia="Calibri" w:hAnsi="Calibri" w:cs="Times New Roman"/>
          <w:sz w:val="24"/>
          <w:szCs w:val="24"/>
        </w:rPr>
        <w:t xml:space="preserve"> </w:t>
      </w:r>
      <w:r w:rsidR="0011217D">
        <w:rPr>
          <w:rFonts w:ascii="Calibri" w:eastAsia="Calibri" w:hAnsi="Calibri" w:cs="Times New Roman"/>
          <w:sz w:val="24"/>
          <w:szCs w:val="24"/>
        </w:rPr>
        <w:t xml:space="preserve"> </w:t>
      </w:r>
      <w:r w:rsidR="00463082" w:rsidRPr="0011217D">
        <w:rPr>
          <w:rFonts w:ascii="Calibri" w:eastAsia="Calibri" w:hAnsi="Calibri" w:cs="Times New Roman"/>
          <w:b/>
          <w:bCs/>
          <w:i/>
          <w:iCs/>
          <w:sz w:val="24"/>
          <w:szCs w:val="24"/>
        </w:rPr>
        <w:t>What wage rate and fringe benefit package is applicable to employees brought into a jurisdiction through the portability provision?</w:t>
      </w:r>
    </w:p>
    <w:p w14:paraId="621BB049" w14:textId="77777777" w:rsidR="00463082" w:rsidRPr="00463082" w:rsidRDefault="00463082" w:rsidP="00463082">
      <w:pPr>
        <w:spacing w:after="0" w:line="240" w:lineRule="auto"/>
        <w:ind w:left="720" w:hanging="360"/>
        <w:jc w:val="both"/>
        <w:rPr>
          <w:rFonts w:ascii="Calibri" w:eastAsia="Calibri" w:hAnsi="Calibri" w:cs="Times New Roman"/>
          <w:sz w:val="24"/>
          <w:szCs w:val="24"/>
        </w:rPr>
      </w:pPr>
    </w:p>
    <w:p w14:paraId="5B46DB53" w14:textId="328D5506" w:rsidR="00463082" w:rsidRDefault="00463082" w:rsidP="00463082">
      <w:pPr>
        <w:spacing w:after="0" w:line="240" w:lineRule="auto"/>
        <w:ind w:left="720"/>
        <w:jc w:val="both"/>
        <w:rPr>
          <w:rFonts w:ascii="Calibri" w:eastAsia="Calibri" w:hAnsi="Calibri" w:cs="Times New Roman"/>
          <w:sz w:val="24"/>
          <w:szCs w:val="24"/>
        </w:rPr>
      </w:pPr>
      <w:r w:rsidRPr="00463082">
        <w:rPr>
          <w:rFonts w:ascii="Calibri" w:eastAsia="Calibri" w:hAnsi="Calibri" w:cs="Times New Roman"/>
          <w:b/>
          <w:bCs/>
          <w:sz w:val="24"/>
          <w:szCs w:val="24"/>
          <w:u w:val="single"/>
        </w:rPr>
        <w:t>Answer:</w:t>
      </w:r>
      <w:r w:rsidRPr="00463082">
        <w:rPr>
          <w:rFonts w:ascii="Calibri" w:eastAsia="Calibri" w:hAnsi="Calibri" w:cs="Times New Roman"/>
          <w:sz w:val="24"/>
          <w:szCs w:val="24"/>
        </w:rPr>
        <w:t xml:space="preserve">  Under the portability provision of the IBEW Tenth District </w:t>
      </w:r>
      <w:r w:rsidR="007523B0">
        <w:rPr>
          <w:rFonts w:ascii="Calibri" w:eastAsia="Calibri" w:hAnsi="Calibri" w:cs="Times New Roman"/>
          <w:sz w:val="24"/>
          <w:szCs w:val="24"/>
        </w:rPr>
        <w:t xml:space="preserve">Prefab </w:t>
      </w:r>
      <w:r w:rsidRPr="00463082">
        <w:rPr>
          <w:rFonts w:ascii="Calibri" w:eastAsia="Calibri" w:hAnsi="Calibri" w:cs="Times New Roman"/>
          <w:sz w:val="24"/>
          <w:szCs w:val="24"/>
        </w:rPr>
        <w:t xml:space="preserve">Agreement, all wages shall be based on the site local union’s inside collective bargaining agreement or the applicable wage sheet from the referring local union, whichever is higher.  All fringe benefits, working assessments, and apprenticeship contributions shall be paid to the site local union where the work is performed. </w:t>
      </w:r>
    </w:p>
    <w:p w14:paraId="207A62C9" w14:textId="122C73D7" w:rsidR="002032C2" w:rsidRDefault="002032C2" w:rsidP="00463082">
      <w:pPr>
        <w:spacing w:after="0" w:line="240" w:lineRule="auto"/>
        <w:ind w:left="720"/>
        <w:jc w:val="both"/>
        <w:rPr>
          <w:rFonts w:ascii="Calibri" w:eastAsia="Calibri" w:hAnsi="Calibri" w:cs="Times New Roman"/>
          <w:sz w:val="24"/>
          <w:szCs w:val="24"/>
        </w:rPr>
      </w:pPr>
    </w:p>
    <w:p w14:paraId="0543D31D" w14:textId="41F88E40" w:rsidR="002032C2" w:rsidRPr="002032C2" w:rsidRDefault="007523B0" w:rsidP="002032C2">
      <w:pPr>
        <w:spacing w:after="0" w:line="240" w:lineRule="auto"/>
        <w:ind w:left="720" w:hanging="360"/>
        <w:jc w:val="both"/>
        <w:rPr>
          <w:b/>
          <w:bCs/>
        </w:rPr>
      </w:pPr>
      <w:r>
        <w:rPr>
          <w:rFonts w:ascii="Calibri" w:eastAsia="Calibri" w:hAnsi="Calibri" w:cs="Times New Roman"/>
          <w:b/>
          <w:bCs/>
          <w:sz w:val="24"/>
          <w:szCs w:val="24"/>
        </w:rPr>
        <w:t>9</w:t>
      </w:r>
      <w:r>
        <w:rPr>
          <w:rFonts w:ascii="Calibri" w:eastAsia="Calibri" w:hAnsi="Calibri" w:cs="Times New Roman"/>
          <w:b/>
          <w:bCs/>
          <w:sz w:val="24"/>
          <w:szCs w:val="24"/>
        </w:rPr>
        <w:tab/>
      </w:r>
      <w:r w:rsidR="002032C2" w:rsidRPr="0011217D">
        <w:rPr>
          <w:rFonts w:cstheme="minorHAnsi"/>
          <w:b/>
          <w:bCs/>
          <w:i/>
          <w:iCs/>
          <w:sz w:val="24"/>
          <w:szCs w:val="24"/>
        </w:rPr>
        <w:t xml:space="preserve">Does the </w:t>
      </w:r>
      <w:r w:rsidR="00B14845" w:rsidRPr="0011217D">
        <w:rPr>
          <w:rFonts w:cstheme="minorHAnsi"/>
          <w:b/>
          <w:bCs/>
          <w:i/>
          <w:iCs/>
          <w:sz w:val="24"/>
          <w:szCs w:val="24"/>
        </w:rPr>
        <w:t xml:space="preserve">IBEW Tenth </w:t>
      </w:r>
      <w:r w:rsidR="002032C2" w:rsidRPr="0011217D">
        <w:rPr>
          <w:rFonts w:cstheme="minorHAnsi"/>
          <w:b/>
          <w:bCs/>
          <w:i/>
          <w:iCs/>
          <w:sz w:val="24"/>
          <w:szCs w:val="24"/>
        </w:rPr>
        <w:t>District Prefab Agreement forbid a contractor from bringing in material they have assembled in their own facility outside the District?</w:t>
      </w:r>
    </w:p>
    <w:p w14:paraId="3925548C" w14:textId="77777777" w:rsidR="002032C2" w:rsidRDefault="002032C2" w:rsidP="002032C2">
      <w:pPr>
        <w:pStyle w:val="NoSpacing"/>
        <w:rPr>
          <w:u w:val="single"/>
        </w:rPr>
      </w:pPr>
    </w:p>
    <w:p w14:paraId="11773A7B" w14:textId="29ACED9A" w:rsidR="00B14845" w:rsidRPr="00B14845" w:rsidRDefault="002032C2" w:rsidP="00B14845">
      <w:pPr>
        <w:pStyle w:val="NoSpacing"/>
        <w:ind w:left="720"/>
        <w:jc w:val="both"/>
        <w:rPr>
          <w:i/>
          <w:iCs/>
          <w:sz w:val="24"/>
          <w:szCs w:val="24"/>
        </w:rPr>
      </w:pPr>
      <w:r w:rsidRPr="002032C2">
        <w:rPr>
          <w:b/>
          <w:bCs/>
          <w:sz w:val="24"/>
          <w:szCs w:val="24"/>
          <w:u w:val="single"/>
        </w:rPr>
        <w:t>Answer:</w:t>
      </w:r>
      <w:r w:rsidRPr="002032C2">
        <w:rPr>
          <w:sz w:val="24"/>
          <w:szCs w:val="24"/>
        </w:rPr>
        <w:t xml:space="preserve"> </w:t>
      </w:r>
      <w:r>
        <w:rPr>
          <w:sz w:val="24"/>
          <w:szCs w:val="24"/>
        </w:rPr>
        <w:t xml:space="preserve"> </w:t>
      </w:r>
      <w:r w:rsidR="00B14845" w:rsidRPr="00ED2757">
        <w:rPr>
          <w:sz w:val="24"/>
          <w:szCs w:val="24"/>
        </w:rPr>
        <w:t xml:space="preserve">The intent is to encourage a contractor to establish a prefab shop in the jurisdiction where the work is being performed, </w:t>
      </w:r>
      <w:r w:rsidR="00ED2757">
        <w:rPr>
          <w:sz w:val="24"/>
          <w:szCs w:val="24"/>
        </w:rPr>
        <w:t xml:space="preserve">allowing for better utilization of manpower and to reduce congestion on the job site.  </w:t>
      </w:r>
      <w:r w:rsidR="00B14845" w:rsidRPr="00ED2757">
        <w:rPr>
          <w:sz w:val="24"/>
          <w:szCs w:val="24"/>
        </w:rPr>
        <w:t xml:space="preserve">While the local unions in the IBEW Tenth District </w:t>
      </w:r>
      <w:r w:rsidR="00ED2757">
        <w:rPr>
          <w:sz w:val="24"/>
          <w:szCs w:val="24"/>
        </w:rPr>
        <w:t xml:space="preserve">feel </w:t>
      </w:r>
      <w:r w:rsidR="00B14845" w:rsidRPr="00ED2757">
        <w:rPr>
          <w:sz w:val="24"/>
          <w:szCs w:val="24"/>
        </w:rPr>
        <w:t xml:space="preserve">this agreement is equal to or better than the prefab conditions in jurisdictions outside of the IBEW Tenth District, the contractor’s need to “test the waters” is understood.  Thus, </w:t>
      </w:r>
      <w:r w:rsidR="00ED2757">
        <w:rPr>
          <w:sz w:val="24"/>
          <w:szCs w:val="24"/>
        </w:rPr>
        <w:t xml:space="preserve">a variance should be secured with the site local union </w:t>
      </w:r>
      <w:r w:rsidR="00B14845" w:rsidRPr="00ED2757">
        <w:rPr>
          <w:sz w:val="24"/>
          <w:szCs w:val="24"/>
        </w:rPr>
        <w:t xml:space="preserve">if a contractor wishes to transport prefabbed materials from outside of the IBEW Tenth District.  </w:t>
      </w:r>
      <w:r w:rsidR="004D7F93" w:rsidRPr="00ED2757">
        <w:rPr>
          <w:sz w:val="24"/>
          <w:szCs w:val="24"/>
        </w:rPr>
        <w:t>It is not t</w:t>
      </w:r>
      <w:r w:rsidR="00B14845" w:rsidRPr="00ED2757">
        <w:rPr>
          <w:sz w:val="24"/>
          <w:szCs w:val="24"/>
        </w:rPr>
        <w:t>he intent of this agreement to restrict a contractor’s ability to secure a project within the IBEW Tenth District.</w:t>
      </w:r>
      <w:r w:rsidR="00B14845" w:rsidRPr="00B14845">
        <w:rPr>
          <w:i/>
          <w:iCs/>
          <w:sz w:val="24"/>
          <w:szCs w:val="24"/>
        </w:rPr>
        <w:t xml:space="preserve"> </w:t>
      </w:r>
    </w:p>
    <w:p w14:paraId="1F736217" w14:textId="77777777" w:rsidR="00844788" w:rsidRDefault="00844788"/>
    <w:sectPr w:rsidR="00844788" w:rsidSect="00E41E81">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B386" w14:textId="77777777" w:rsidR="008E78FB" w:rsidRDefault="008E78FB">
      <w:pPr>
        <w:spacing w:after="0" w:line="240" w:lineRule="auto"/>
      </w:pPr>
      <w:r>
        <w:separator/>
      </w:r>
    </w:p>
  </w:endnote>
  <w:endnote w:type="continuationSeparator" w:id="0">
    <w:p w14:paraId="7527E10F" w14:textId="77777777" w:rsidR="008E78FB" w:rsidRDefault="008E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0B16" w14:textId="0218ADA5" w:rsidR="005F50F9" w:rsidRDefault="0084272F">
    <w:pPr>
      <w:pStyle w:val="Footer"/>
    </w:pPr>
    <w:r>
      <w:t>2</w:t>
    </w:r>
    <w:r w:rsidR="00E41E81">
      <w:t>/</w:t>
    </w:r>
    <w:r>
      <w:t>21</w:t>
    </w:r>
    <w:r w:rsidR="009226CC">
      <w:t>/202</w:t>
    </w:r>
    <w:r>
      <w:t>3</w:t>
    </w:r>
    <w:r w:rsidR="009226C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26E6" w14:textId="77777777" w:rsidR="008E78FB" w:rsidRDefault="008E78FB">
      <w:pPr>
        <w:spacing w:after="0" w:line="240" w:lineRule="auto"/>
      </w:pPr>
      <w:r>
        <w:separator/>
      </w:r>
    </w:p>
  </w:footnote>
  <w:footnote w:type="continuationSeparator" w:id="0">
    <w:p w14:paraId="2362E882" w14:textId="77777777" w:rsidR="008E78FB" w:rsidRDefault="008E7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6AE1"/>
    <w:multiLevelType w:val="hybridMultilevel"/>
    <w:tmpl w:val="06F410FE"/>
    <w:lvl w:ilvl="0" w:tplc="BD8657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D65AA"/>
    <w:multiLevelType w:val="hybridMultilevel"/>
    <w:tmpl w:val="F3FA7F62"/>
    <w:lvl w:ilvl="0" w:tplc="B5841A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D78E7"/>
    <w:multiLevelType w:val="hybridMultilevel"/>
    <w:tmpl w:val="1158C926"/>
    <w:lvl w:ilvl="0" w:tplc="739EE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13CB5"/>
    <w:multiLevelType w:val="hybridMultilevel"/>
    <w:tmpl w:val="E954C886"/>
    <w:lvl w:ilvl="0" w:tplc="FF7E13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E3502"/>
    <w:multiLevelType w:val="hybridMultilevel"/>
    <w:tmpl w:val="8E5A8FBE"/>
    <w:lvl w:ilvl="0" w:tplc="95FA40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82"/>
    <w:rsid w:val="00057561"/>
    <w:rsid w:val="000873C0"/>
    <w:rsid w:val="0011217D"/>
    <w:rsid w:val="002032C2"/>
    <w:rsid w:val="002A34B5"/>
    <w:rsid w:val="00357B12"/>
    <w:rsid w:val="00442438"/>
    <w:rsid w:val="00463082"/>
    <w:rsid w:val="004C260D"/>
    <w:rsid w:val="004D7F93"/>
    <w:rsid w:val="004E0044"/>
    <w:rsid w:val="005E51B4"/>
    <w:rsid w:val="007523B0"/>
    <w:rsid w:val="007552A2"/>
    <w:rsid w:val="0084272F"/>
    <w:rsid w:val="00844788"/>
    <w:rsid w:val="008E78FB"/>
    <w:rsid w:val="009226CC"/>
    <w:rsid w:val="00931C65"/>
    <w:rsid w:val="009458F7"/>
    <w:rsid w:val="009718C6"/>
    <w:rsid w:val="009D0C01"/>
    <w:rsid w:val="00B14845"/>
    <w:rsid w:val="00C50358"/>
    <w:rsid w:val="00C6761F"/>
    <w:rsid w:val="00E41E81"/>
    <w:rsid w:val="00E45D19"/>
    <w:rsid w:val="00ED2757"/>
    <w:rsid w:val="00F803F0"/>
    <w:rsid w:val="00FE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4145"/>
  <w15:chartTrackingRefBased/>
  <w15:docId w15:val="{DC49F769-51B6-4D1D-9651-599BEBA9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3082"/>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463082"/>
    <w:rPr>
      <w:sz w:val="24"/>
      <w:szCs w:val="24"/>
    </w:rPr>
  </w:style>
  <w:style w:type="paragraph" w:styleId="ListParagraph">
    <w:name w:val="List Paragraph"/>
    <w:basedOn w:val="Normal"/>
    <w:uiPriority w:val="34"/>
    <w:qFormat/>
    <w:rsid w:val="002032C2"/>
    <w:pPr>
      <w:ind w:left="720"/>
      <w:contextualSpacing/>
    </w:pPr>
  </w:style>
  <w:style w:type="character" w:styleId="CommentReference">
    <w:name w:val="annotation reference"/>
    <w:basedOn w:val="DefaultParagraphFont"/>
    <w:uiPriority w:val="99"/>
    <w:semiHidden/>
    <w:unhideWhenUsed/>
    <w:rsid w:val="002032C2"/>
    <w:rPr>
      <w:sz w:val="16"/>
      <w:szCs w:val="16"/>
    </w:rPr>
  </w:style>
  <w:style w:type="paragraph" w:styleId="CommentText">
    <w:name w:val="annotation text"/>
    <w:basedOn w:val="Normal"/>
    <w:link w:val="CommentTextChar"/>
    <w:uiPriority w:val="99"/>
    <w:semiHidden/>
    <w:unhideWhenUsed/>
    <w:rsid w:val="002032C2"/>
    <w:pPr>
      <w:spacing w:after="0" w:line="240" w:lineRule="auto"/>
    </w:pPr>
    <w:rPr>
      <w:sz w:val="20"/>
      <w:szCs w:val="20"/>
    </w:rPr>
  </w:style>
  <w:style w:type="character" w:customStyle="1" w:styleId="CommentTextChar">
    <w:name w:val="Comment Text Char"/>
    <w:basedOn w:val="DefaultParagraphFont"/>
    <w:link w:val="CommentText"/>
    <w:uiPriority w:val="99"/>
    <w:semiHidden/>
    <w:rsid w:val="002032C2"/>
    <w:rPr>
      <w:sz w:val="20"/>
      <w:szCs w:val="20"/>
    </w:rPr>
  </w:style>
  <w:style w:type="paragraph" w:styleId="NoSpacing">
    <w:name w:val="No Spacing"/>
    <w:uiPriority w:val="1"/>
    <w:qFormat/>
    <w:rsid w:val="002032C2"/>
    <w:pPr>
      <w:spacing w:after="0" w:line="240" w:lineRule="auto"/>
    </w:pPr>
  </w:style>
  <w:style w:type="paragraph" w:styleId="BalloonText">
    <w:name w:val="Balloon Text"/>
    <w:basedOn w:val="Normal"/>
    <w:link w:val="BalloonTextChar"/>
    <w:uiPriority w:val="99"/>
    <w:semiHidden/>
    <w:unhideWhenUsed/>
    <w:rsid w:val="00203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C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4845"/>
    <w:pPr>
      <w:spacing w:after="160"/>
    </w:pPr>
    <w:rPr>
      <w:b/>
      <w:bCs/>
    </w:rPr>
  </w:style>
  <w:style w:type="character" w:customStyle="1" w:styleId="CommentSubjectChar">
    <w:name w:val="Comment Subject Char"/>
    <w:basedOn w:val="CommentTextChar"/>
    <w:link w:val="CommentSubject"/>
    <w:uiPriority w:val="99"/>
    <w:semiHidden/>
    <w:rsid w:val="00B14845"/>
    <w:rPr>
      <w:b/>
      <w:bCs/>
      <w:sz w:val="20"/>
      <w:szCs w:val="20"/>
    </w:rPr>
  </w:style>
  <w:style w:type="paragraph" w:styleId="Header">
    <w:name w:val="header"/>
    <w:basedOn w:val="Normal"/>
    <w:link w:val="HeaderChar"/>
    <w:uiPriority w:val="99"/>
    <w:unhideWhenUsed/>
    <w:rsid w:val="00E41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BB965EE3B7047BFCAF250C513B44E" ma:contentTypeVersion="13" ma:contentTypeDescription="Create a new document." ma:contentTypeScope="" ma:versionID="f83e293b9f0c6d6b654a7e04b2b9ec66">
  <xsd:schema xmlns:xsd="http://www.w3.org/2001/XMLSchema" xmlns:xs="http://www.w3.org/2001/XMLSchema" xmlns:p="http://schemas.microsoft.com/office/2006/metadata/properties" xmlns:ns3="aa26c583-32a7-4d3f-b536-7077618581c6" xmlns:ns4="929d65f9-bdaa-4028-a5cf-e0cad295051e" targetNamespace="http://schemas.microsoft.com/office/2006/metadata/properties" ma:root="true" ma:fieldsID="ff01deaef572104984f307570bc39ac3" ns3:_="" ns4:_="">
    <xsd:import namespace="aa26c583-32a7-4d3f-b536-7077618581c6"/>
    <xsd:import namespace="929d65f9-bdaa-4028-a5cf-e0cad29505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6c583-32a7-4d3f-b536-707761858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9d65f9-bdaa-4028-a5cf-e0cad29505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4D83C-15DC-4C8D-BF7A-26866E8DA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6c583-32a7-4d3f-b536-7077618581c6"/>
    <ds:schemaRef ds:uri="929d65f9-bdaa-4028-a5cf-e0cad2950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98BF6-6778-4958-B80C-B97B79101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2971F-D96D-4B22-AC39-648171A37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 Jonathan T.</dc:creator>
  <cp:keywords/>
  <dc:description/>
  <cp:lastModifiedBy>Piatt, Frank S.</cp:lastModifiedBy>
  <cp:revision>2</cp:revision>
  <dcterms:created xsi:type="dcterms:W3CDTF">2023-02-27T16:45:00Z</dcterms:created>
  <dcterms:modified xsi:type="dcterms:W3CDTF">2023-02-27T16:45:00Z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0x010100694BB965EE3B7047BFCAF250C513B44E</vt:lpwstr>
  </property>
</Properties>
</file>